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80" w:rsidRPr="00F7788D" w:rsidRDefault="00491080" w:rsidP="00304D6F">
      <w:pPr>
        <w:spacing w:line="360" w:lineRule="auto"/>
        <w:jc w:val="center"/>
      </w:pPr>
      <w:r>
        <w:t>ORDENANZA X</w:t>
      </w:r>
      <w:r w:rsidRPr="00F7788D">
        <w:t>I</w:t>
      </w:r>
      <w:r w:rsidR="00154CC8">
        <w:t>I</w:t>
      </w:r>
      <w:r w:rsidRPr="00F7788D">
        <w:t xml:space="preserve"> - Nº</w:t>
      </w:r>
      <w:r w:rsidR="004A7DE1">
        <w:t xml:space="preserve"> 10</w:t>
      </w:r>
    </w:p>
    <w:p w:rsidR="00491080" w:rsidRDefault="00491080" w:rsidP="00304D6F">
      <w:pPr>
        <w:spacing w:line="360" w:lineRule="auto"/>
        <w:jc w:val="center"/>
      </w:pPr>
      <w:r w:rsidRPr="00F7788D">
        <w:t xml:space="preserve">(Antes Ordenanza </w:t>
      </w:r>
      <w:r>
        <w:t>78</w:t>
      </w:r>
      <w:r w:rsidRPr="00F7788D">
        <w:t>/9</w:t>
      </w:r>
      <w:r>
        <w:t>6</w:t>
      </w:r>
      <w:r w:rsidRPr="00F7788D">
        <w:t>)</w:t>
      </w:r>
    </w:p>
    <w:p w:rsidR="00491080" w:rsidRPr="00491080" w:rsidRDefault="00491080" w:rsidP="00304D6F">
      <w:pPr>
        <w:tabs>
          <w:tab w:val="left" w:pos="910"/>
          <w:tab w:val="left" w:pos="1704"/>
        </w:tabs>
        <w:spacing w:line="360" w:lineRule="auto"/>
        <w:jc w:val="center"/>
      </w:pPr>
      <w:r w:rsidRPr="00491080">
        <w:t>ANEXO ÚNICO</w:t>
      </w:r>
    </w:p>
    <w:p w:rsidR="00304D6F" w:rsidRDefault="00304D6F" w:rsidP="00491080">
      <w:pPr>
        <w:tabs>
          <w:tab w:val="left" w:pos="910"/>
          <w:tab w:val="left" w:pos="1704"/>
        </w:tabs>
        <w:spacing w:line="360" w:lineRule="auto"/>
        <w:jc w:val="center"/>
      </w:pPr>
    </w:p>
    <w:p w:rsidR="00667DBA" w:rsidRDefault="00491080" w:rsidP="00491080">
      <w:pPr>
        <w:tabs>
          <w:tab w:val="left" w:pos="910"/>
          <w:tab w:val="left" w:pos="1704"/>
        </w:tabs>
        <w:spacing w:line="360" w:lineRule="auto"/>
        <w:jc w:val="center"/>
      </w:pPr>
      <w:r w:rsidRPr="00154CC8">
        <w:t xml:space="preserve">LEY </w:t>
      </w:r>
      <w:r w:rsidR="007B6E4F" w:rsidRPr="00154CC8">
        <w:t xml:space="preserve">XVII - </w:t>
      </w:r>
      <w:r w:rsidRPr="00154CC8">
        <w:t>Nº</w:t>
      </w:r>
      <w:r w:rsidR="007B6E4F" w:rsidRPr="00154CC8">
        <w:t xml:space="preserve"> 21 </w:t>
      </w:r>
    </w:p>
    <w:p w:rsidR="00491080" w:rsidRPr="00154CC8" w:rsidRDefault="007B6E4F" w:rsidP="00491080">
      <w:pPr>
        <w:tabs>
          <w:tab w:val="left" w:pos="910"/>
          <w:tab w:val="left" w:pos="1704"/>
        </w:tabs>
        <w:spacing w:line="360" w:lineRule="auto"/>
        <w:jc w:val="center"/>
      </w:pPr>
      <w:r w:rsidRPr="00154CC8">
        <w:t xml:space="preserve">(Antes Ley </w:t>
      </w:r>
      <w:r w:rsidR="00491080" w:rsidRPr="00154CC8">
        <w:t>3268</w:t>
      </w:r>
      <w:r w:rsidRPr="00154CC8">
        <w:t>/96)</w:t>
      </w:r>
    </w:p>
    <w:p w:rsidR="00491080" w:rsidRPr="004E0897" w:rsidRDefault="00491080" w:rsidP="00491080">
      <w:pPr>
        <w:tabs>
          <w:tab w:val="left" w:pos="910"/>
          <w:tab w:val="left" w:pos="1704"/>
        </w:tabs>
        <w:spacing w:line="360" w:lineRule="auto"/>
        <w:jc w:val="center"/>
        <w:rPr>
          <w:b/>
        </w:rPr>
      </w:pPr>
    </w:p>
    <w:p w:rsidR="00491080" w:rsidRPr="00841F4F" w:rsidRDefault="00491080" w:rsidP="00491080">
      <w:pPr>
        <w:tabs>
          <w:tab w:val="left" w:pos="910"/>
        </w:tabs>
        <w:spacing w:line="360" w:lineRule="auto"/>
        <w:jc w:val="center"/>
      </w:pPr>
      <w:r w:rsidRPr="00841F4F">
        <w:t>LA CÁMARA DE REPRESENTANTES DE LA PROVINCIA</w:t>
      </w:r>
    </w:p>
    <w:p w:rsidR="00491080" w:rsidRPr="00841F4F" w:rsidRDefault="00491080" w:rsidP="00491080">
      <w:pPr>
        <w:tabs>
          <w:tab w:val="left" w:pos="910"/>
        </w:tabs>
        <w:spacing w:line="360" w:lineRule="auto"/>
        <w:jc w:val="center"/>
      </w:pPr>
      <w:r w:rsidRPr="00841F4F">
        <w:t>SANCIONA CON FUERZA DE</w:t>
      </w:r>
    </w:p>
    <w:p w:rsidR="00491080" w:rsidRDefault="00491080" w:rsidP="00491080">
      <w:pPr>
        <w:tabs>
          <w:tab w:val="left" w:pos="910"/>
        </w:tabs>
        <w:spacing w:line="360" w:lineRule="auto"/>
        <w:jc w:val="center"/>
        <w:rPr>
          <w:b/>
          <w:u w:val="single"/>
        </w:rPr>
      </w:pPr>
      <w:r w:rsidRPr="00841F4F">
        <w:rPr>
          <w:b/>
          <w:u w:val="single"/>
        </w:rPr>
        <w:t>LEY</w:t>
      </w:r>
      <w:r>
        <w:rPr>
          <w:b/>
          <w:u w:val="single"/>
        </w:rPr>
        <w:t>:</w:t>
      </w:r>
    </w:p>
    <w:p w:rsidR="00491080" w:rsidRPr="00841F4F" w:rsidRDefault="00491080" w:rsidP="00491080">
      <w:pPr>
        <w:tabs>
          <w:tab w:val="left" w:pos="910"/>
        </w:tabs>
        <w:spacing w:line="360" w:lineRule="auto"/>
        <w:rPr>
          <w:b/>
          <w:u w:val="single"/>
        </w:rPr>
      </w:pPr>
    </w:p>
    <w:p w:rsidR="00491080" w:rsidRDefault="00491080" w:rsidP="00491080">
      <w:pPr>
        <w:tabs>
          <w:tab w:val="left" w:pos="910"/>
        </w:tabs>
        <w:spacing w:line="360" w:lineRule="auto"/>
        <w:jc w:val="both"/>
      </w:pPr>
      <w:r w:rsidRPr="00B2702B">
        <w:rPr>
          <w:u w:val="single"/>
        </w:rPr>
        <w:t>ARTÍCULO 1.-</w:t>
      </w:r>
      <w:r>
        <w:t xml:space="preserve"> La ablación de órganos y materiales anatómicos de personas y cadáveres humanos para la implantación de los mismos en seres humanos se rige en el Territorio Provincial, por las disposiciones de la Ley Nacional Nº 24.193 o normas que eventualmente la modifiquen o reemplacen y las de la presente Ley.</w:t>
      </w:r>
    </w:p>
    <w:p w:rsidR="00491080" w:rsidRDefault="00491080" w:rsidP="00491080">
      <w:pPr>
        <w:tabs>
          <w:tab w:val="left" w:pos="910"/>
        </w:tabs>
        <w:spacing w:line="360" w:lineRule="auto"/>
        <w:jc w:val="both"/>
      </w:pPr>
      <w:r>
        <w:t xml:space="preserve">El Poder de Policía Sanitaria en relación con dichas prácticas será ejercido por el Ministerio de Salud Pública de </w:t>
      </w:r>
      <w:smartTag w:uri="urn:schemas-microsoft-com:office:smarttags" w:element="PersonName">
        <w:smartTagPr>
          <w:attr w:name="ProductID" w:val="la Provincia"/>
        </w:smartTagPr>
        <w:r>
          <w:t>la Provincia</w:t>
        </w:r>
      </w:smartTag>
      <w:r>
        <w:t>, que será la autoridad de aplicación, control e inspección de establecimientos y servicios y autorización de profesionales y equipos en el ámbito Provincial.</w:t>
      </w:r>
    </w:p>
    <w:p w:rsidR="00491080" w:rsidRDefault="00491080" w:rsidP="00491080">
      <w:pPr>
        <w:tabs>
          <w:tab w:val="left" w:pos="910"/>
        </w:tabs>
        <w:spacing w:line="360" w:lineRule="auto"/>
        <w:jc w:val="both"/>
      </w:pPr>
    </w:p>
    <w:p w:rsidR="00491080" w:rsidRDefault="00491080" w:rsidP="00491080">
      <w:pPr>
        <w:tabs>
          <w:tab w:val="left" w:pos="910"/>
        </w:tabs>
        <w:spacing w:line="360" w:lineRule="auto"/>
        <w:jc w:val="both"/>
      </w:pPr>
      <w:r w:rsidRPr="00B2702B">
        <w:rPr>
          <w:u w:val="single"/>
        </w:rPr>
        <w:t>ARTÍCULO 2.-</w:t>
      </w:r>
      <w:r>
        <w:t xml:space="preserve"> Créase el Centro Único Coordinador de Ablación e Implante Misiones (Cucaimis) en el ámbito del Ministerio de Salud Pública de la Provincia, cuya misión será asesorar a las autoridades de dicho: Ministerio en relación a la temática de la presente Ley.</w:t>
      </w:r>
    </w:p>
    <w:p w:rsidR="00491080" w:rsidRDefault="00491080" w:rsidP="00491080">
      <w:pPr>
        <w:tabs>
          <w:tab w:val="left" w:pos="910"/>
        </w:tabs>
        <w:spacing w:line="360" w:lineRule="auto"/>
        <w:jc w:val="both"/>
      </w:pPr>
      <w:r>
        <w:t xml:space="preserve">El Cucaimis tendrá su sede en el Hospital Público de Autogestión "Dr. Ramón Madariaga" de </w:t>
      </w:r>
      <w:smartTag w:uri="urn:schemas-microsoft-com:office:smarttags" w:element="PersonName">
        <w:smartTagPr>
          <w:attr w:name="ProductID" w:val="la Ciudad"/>
        </w:smartTagPr>
        <w:r>
          <w:t>la Ciudad</w:t>
        </w:r>
      </w:smartTag>
      <w:r>
        <w:t xml:space="preserve"> de Posadas y serán sus funciones:</w:t>
      </w:r>
    </w:p>
    <w:p w:rsidR="00491080" w:rsidRDefault="00491080" w:rsidP="00491080">
      <w:pPr>
        <w:tabs>
          <w:tab w:val="left" w:pos="910"/>
        </w:tabs>
        <w:spacing w:line="360" w:lineRule="auto"/>
        <w:jc w:val="both"/>
      </w:pPr>
      <w:r>
        <w:t xml:space="preserve">1) Proponer al Ministerio normas sobre habilitación de establecimientos y servicios, así como autorización de profesionales y equipos que estime de aplicación en </w:t>
      </w:r>
      <w:smartTag w:uri="urn:schemas-microsoft-com:office:smarttags" w:element="PersonName">
        <w:smartTagPr>
          <w:attr w:name="ProductID" w:val="la Provincia"/>
        </w:smartTagPr>
        <w:r>
          <w:t>la Provincia</w:t>
        </w:r>
      </w:smartTag>
      <w:r>
        <w:t>, interviniendo en los trámites que se relacionen con el contralor del ejercicio de la actividad;</w:t>
      </w:r>
    </w:p>
    <w:p w:rsidR="00491080" w:rsidRDefault="00491080" w:rsidP="00491080">
      <w:pPr>
        <w:tabs>
          <w:tab w:val="left" w:pos="910"/>
        </w:tabs>
        <w:spacing w:line="360" w:lineRule="auto"/>
        <w:jc w:val="both"/>
      </w:pPr>
      <w:r>
        <w:t xml:space="preserve">2) Controlar las ablaciones que se realicen en seres humanos y regular las acciones de procuración de órganos y materiales anatómicos cadavéricos en el Territorio Provincial, interviniendo directamente en los operativos que se generen a partir de la denuncia establecida por el Artículo Nº 26 de </w:t>
      </w:r>
      <w:smartTag w:uri="urn:schemas-microsoft-com:office:smarttags" w:element="PersonName">
        <w:smartTagPr>
          <w:attr w:name="ProductID" w:val="la Ley N"/>
        </w:smartTagPr>
        <w:smartTag w:uri="urn:schemas-microsoft-com:office:smarttags" w:element="PersonName">
          <w:smartTagPr>
            <w:attr w:name="ProductID" w:val="la Ley"/>
          </w:smartTagPr>
          <w:r>
            <w:t>la Ley</w:t>
          </w:r>
        </w:smartTag>
        <w:r>
          <w:t xml:space="preserve"> N</w:t>
        </w:r>
      </w:smartTag>
      <w:r>
        <w:t>º 24.193 y procedimientos para el diagnóstico de muerte, coordinando su accionar con el Organismo Nacional Competente;</w:t>
      </w:r>
    </w:p>
    <w:p w:rsidR="00491080" w:rsidRDefault="00491080" w:rsidP="00491080">
      <w:pPr>
        <w:tabs>
          <w:tab w:val="left" w:pos="910"/>
        </w:tabs>
        <w:spacing w:line="360" w:lineRule="auto"/>
        <w:jc w:val="both"/>
      </w:pPr>
      <w:r>
        <w:lastRenderedPageBreak/>
        <w:t xml:space="preserve">3) Organizar y mantener un Registro de Donantes para después de la muerte, de ablaciones y de </w:t>
      </w:r>
      <w:r w:rsidR="00C6781E">
        <w:t>trasplantes</w:t>
      </w:r>
      <w:r>
        <w:t>, así como la nómina de potenciales receptores de órganos y materiales anatómicos en el Territorio Provincial, conforme las prioridades que se establezcan para la jurisdicción y a nivel Nacional;</w:t>
      </w:r>
    </w:p>
    <w:p w:rsidR="00491080" w:rsidRDefault="00491080" w:rsidP="00491080">
      <w:pPr>
        <w:tabs>
          <w:tab w:val="left" w:pos="910"/>
        </w:tabs>
        <w:spacing w:line="360" w:lineRule="auto"/>
        <w:jc w:val="both"/>
      </w:pPr>
      <w:r>
        <w:t>4) Asesorar al Ministerio en todas las gestiones en que según la normativa nacional corresponda la intervención y/o decisión de la autoridad jurisdiccional;</w:t>
      </w:r>
    </w:p>
    <w:p w:rsidR="00491080" w:rsidRDefault="00491080" w:rsidP="00491080">
      <w:pPr>
        <w:tabs>
          <w:tab w:val="left" w:pos="910"/>
        </w:tabs>
        <w:spacing w:line="360" w:lineRule="auto"/>
        <w:jc w:val="both"/>
      </w:pPr>
      <w:r>
        <w:t xml:space="preserve">5) Promover acciones de docencia y capacitación de recursos humanos en la temática </w:t>
      </w:r>
      <w:r w:rsidR="00F66DC5">
        <w:t>trasplantológica</w:t>
      </w:r>
      <w:r>
        <w:t>;</w:t>
      </w:r>
    </w:p>
    <w:p w:rsidR="00491080" w:rsidRDefault="00491080" w:rsidP="00491080">
      <w:pPr>
        <w:tabs>
          <w:tab w:val="left" w:pos="910"/>
        </w:tabs>
        <w:spacing w:line="360" w:lineRule="auto"/>
        <w:jc w:val="both"/>
      </w:pPr>
      <w:r>
        <w:t>6) Realizar y/o auspiciar la realización de campañas de educación y difusión a efectos de informar y concientizar a la población sobre los alcances del régimen de disposición de órganos y materiales anatómicos para después de la muerte establecido a nivel nacional y favorecer la donación a nivel Provincial;</w:t>
      </w:r>
    </w:p>
    <w:p w:rsidR="00491080" w:rsidRDefault="00491080" w:rsidP="00491080">
      <w:pPr>
        <w:tabs>
          <w:tab w:val="left" w:pos="910"/>
        </w:tabs>
        <w:spacing w:line="360" w:lineRule="auto"/>
        <w:jc w:val="both"/>
      </w:pPr>
      <w:r>
        <w:t xml:space="preserve">7) Crear Bancos de Órganos y/o tejidos y favorecer el desarrollo de Centros de Implante en el Sector Público Provincial o coordinar su organización con el sector Privado y de la Seguridad Social con vistas a facilitar la accesibilidad de toda la población a las prácticas </w:t>
      </w:r>
      <w:r w:rsidR="00587719">
        <w:t>trasplantológicas</w:t>
      </w:r>
      <w:r>
        <w:t>;</w:t>
      </w:r>
    </w:p>
    <w:p w:rsidR="00491080" w:rsidRDefault="00491080" w:rsidP="00491080">
      <w:pPr>
        <w:tabs>
          <w:tab w:val="left" w:pos="910"/>
        </w:tabs>
        <w:spacing w:line="360" w:lineRule="auto"/>
        <w:jc w:val="both"/>
      </w:pPr>
      <w:r>
        <w:t>8) Coordinar con el Instituto Nacional Central Único Coordinador de Ablación e Implante (Incucai) y Organismo que eventualmente lo reemplace, la aplicación de la normativa nacional y las acciones que sean de competencia en el ámbito de esta Provincia;</w:t>
      </w:r>
    </w:p>
    <w:p w:rsidR="00491080" w:rsidRDefault="00491080" w:rsidP="00491080">
      <w:pPr>
        <w:tabs>
          <w:tab w:val="left" w:pos="910"/>
        </w:tabs>
        <w:spacing w:line="360" w:lineRule="auto"/>
        <w:jc w:val="both"/>
      </w:pPr>
      <w:r>
        <w:t xml:space="preserve">9) Acordar con las autoridades judiciales de </w:t>
      </w:r>
      <w:smartTag w:uri="urn:schemas-microsoft-com:office:smarttags" w:element="PersonName">
        <w:smartTagPr>
          <w:attr w:name="ProductID" w:val="la Provincia"/>
        </w:smartTagPr>
        <w:r>
          <w:t>la Provincia</w:t>
        </w:r>
      </w:smartTag>
      <w:r>
        <w:t xml:space="preserve"> normas y procedimientos, actos para facilitar la disposición de órganos y tejidos cadavéricos en los casos en que deba intervenir la justicia;</w:t>
      </w:r>
    </w:p>
    <w:p w:rsidR="00491080" w:rsidRDefault="00491080" w:rsidP="00491080">
      <w:pPr>
        <w:tabs>
          <w:tab w:val="left" w:pos="910"/>
        </w:tabs>
        <w:spacing w:line="360" w:lineRule="auto"/>
        <w:jc w:val="both"/>
      </w:pPr>
      <w:r>
        <w:t>10) Todas aquellas no detalladas en la enunciación precedente que sin vulnerar el ordenamiento jurídico vigente resulten necesarias para el mejor cumplimiento de las finalidades de esta Ley.</w:t>
      </w:r>
    </w:p>
    <w:p w:rsidR="00491080" w:rsidRDefault="00491080" w:rsidP="00491080">
      <w:pPr>
        <w:tabs>
          <w:tab w:val="left" w:pos="910"/>
        </w:tabs>
        <w:spacing w:line="360" w:lineRule="auto"/>
        <w:jc w:val="both"/>
      </w:pPr>
    </w:p>
    <w:p w:rsidR="00491080" w:rsidRDefault="00491080" w:rsidP="00491080">
      <w:pPr>
        <w:tabs>
          <w:tab w:val="left" w:pos="910"/>
        </w:tabs>
        <w:spacing w:line="360" w:lineRule="auto"/>
        <w:jc w:val="both"/>
      </w:pPr>
      <w:r w:rsidRPr="00B2702B">
        <w:rPr>
          <w:u w:val="single"/>
        </w:rPr>
        <w:t xml:space="preserve">ARTÍCULO 3.- </w:t>
      </w:r>
      <w:r>
        <w:t>El Cucaimis estará conducido por un (1) Director Coordinador Titular y uno (1) Suplente designados por el Poder Ejecutivo Provincial a propuesta del Ministerio de Salud Pública.</w:t>
      </w:r>
    </w:p>
    <w:p w:rsidR="00491080" w:rsidRDefault="00491080" w:rsidP="00491080">
      <w:pPr>
        <w:tabs>
          <w:tab w:val="left" w:pos="910"/>
        </w:tabs>
        <w:spacing w:line="360" w:lineRule="auto"/>
        <w:jc w:val="both"/>
      </w:pPr>
      <w:r>
        <w:t>Las reglamentaciones de la presente establecerá las distintas áreas de que estará compuesto y las misiones y funciones según las asignadas en el artículo anterior, debiendo adoptar el Poder Ejecutivo las medidas necesarias para su puesta en funcionamiento mediante la asignación prioritaria del personal profesional y técnico que reviste dentro de su ámbito.</w:t>
      </w:r>
    </w:p>
    <w:p w:rsidR="00491080" w:rsidRDefault="00491080" w:rsidP="00491080">
      <w:pPr>
        <w:tabs>
          <w:tab w:val="left" w:pos="910"/>
        </w:tabs>
        <w:spacing w:line="360" w:lineRule="auto"/>
        <w:jc w:val="both"/>
      </w:pPr>
    </w:p>
    <w:p w:rsidR="00491080" w:rsidRDefault="00491080" w:rsidP="00491080">
      <w:pPr>
        <w:tabs>
          <w:tab w:val="left" w:pos="910"/>
        </w:tabs>
        <w:spacing w:line="360" w:lineRule="auto"/>
        <w:jc w:val="both"/>
      </w:pPr>
      <w:r w:rsidRPr="00B2702B">
        <w:rPr>
          <w:u w:val="single"/>
        </w:rPr>
        <w:t>ARTÍCULO 4.-</w:t>
      </w:r>
      <w:r w:rsidRPr="00841F4F">
        <w:t xml:space="preserve"> </w:t>
      </w:r>
      <w:r>
        <w:t>El Ministerio de Salud Pública podrá constituir y poner en funcionamiento Consejos Asesores, de carácter Honorario, con representantes de entidades científicas y sociedades intermedias relacionadas con la temática, que brinden asesoramiento de carácter no vinculante a las autoridades del Cucaimis en las materias de su incumbencia.</w:t>
      </w:r>
    </w:p>
    <w:p w:rsidR="00491080" w:rsidRDefault="00491080" w:rsidP="00491080">
      <w:pPr>
        <w:tabs>
          <w:tab w:val="left" w:pos="910"/>
        </w:tabs>
        <w:spacing w:line="360" w:lineRule="auto"/>
        <w:jc w:val="both"/>
      </w:pPr>
    </w:p>
    <w:p w:rsidR="00491080" w:rsidRDefault="00491080" w:rsidP="00491080">
      <w:pPr>
        <w:tabs>
          <w:tab w:val="left" w:pos="910"/>
        </w:tabs>
        <w:spacing w:line="360" w:lineRule="auto"/>
        <w:jc w:val="both"/>
      </w:pPr>
      <w:r w:rsidRPr="00B2702B">
        <w:rPr>
          <w:u w:val="single"/>
        </w:rPr>
        <w:t>ARTÍCULO 5</w:t>
      </w:r>
      <w:r>
        <w:rPr>
          <w:u w:val="single"/>
        </w:rPr>
        <w:t>.</w:t>
      </w:r>
      <w:r w:rsidRPr="00B2702B">
        <w:rPr>
          <w:u w:val="single"/>
        </w:rPr>
        <w:t>-</w:t>
      </w:r>
      <w:r>
        <w:t xml:space="preserve"> Las erogaciones que demanden el cumplimiento de la presente Ley serán atendidas con cargos a las partidas específicas del Presupuesto que a tal fin determinen el Podar Ejecutivo.</w:t>
      </w:r>
    </w:p>
    <w:p w:rsidR="00491080" w:rsidRDefault="00491080" w:rsidP="00491080">
      <w:pPr>
        <w:tabs>
          <w:tab w:val="left" w:pos="910"/>
        </w:tabs>
        <w:spacing w:line="360" w:lineRule="auto"/>
        <w:jc w:val="both"/>
      </w:pPr>
    </w:p>
    <w:p w:rsidR="00491080" w:rsidRDefault="00491080" w:rsidP="00491080">
      <w:pPr>
        <w:tabs>
          <w:tab w:val="left" w:pos="910"/>
        </w:tabs>
        <w:spacing w:line="360" w:lineRule="auto"/>
        <w:jc w:val="both"/>
      </w:pPr>
      <w:r w:rsidRPr="00B2702B">
        <w:rPr>
          <w:u w:val="single"/>
        </w:rPr>
        <w:t>ARTÍCULO 6.-</w:t>
      </w:r>
      <w:r>
        <w:t xml:space="preserve"> Hasta tanto el Cucaimis se encuentre organizado y en condiciones efectivas de operatividad, el Ministerio de Salud Pública podrá requerir del Incucai el ejercicio de la competencia asignada por la Ley Nº 24.193 en el Territorio Provincial, a los efectos previstos en el Artículo 61 de la misma, siendo en ese lapso de aplicación y mientras no se sancionen normas específicas de carácter local, las reglamentaciones de la actividad dictadas a nivel nacional.</w:t>
      </w:r>
    </w:p>
    <w:p w:rsidR="00491080" w:rsidRDefault="00491080" w:rsidP="00491080">
      <w:pPr>
        <w:tabs>
          <w:tab w:val="left" w:pos="910"/>
        </w:tabs>
        <w:spacing w:line="360" w:lineRule="auto"/>
        <w:jc w:val="both"/>
      </w:pPr>
    </w:p>
    <w:p w:rsidR="00491080" w:rsidRPr="006A588C" w:rsidRDefault="00D80757" w:rsidP="00D36871">
      <w:pPr>
        <w:tabs>
          <w:tab w:val="left" w:pos="910"/>
        </w:tabs>
        <w:spacing w:line="360" w:lineRule="auto"/>
        <w:jc w:val="both"/>
      </w:pPr>
      <w:r w:rsidRPr="00D80757">
        <w:rPr>
          <w:noProof/>
          <w:u w:val="single"/>
        </w:rPr>
        <w:pict>
          <v:rect id="_x0000_s1027" style="position:absolute;left:0;text-align:left;margin-left:-73.05pt;margin-top:345.35pt;width:530.05pt;height:89.65pt;z-index:251659264" stroked="f"/>
        </w:pict>
      </w:r>
      <w:r w:rsidR="00491080" w:rsidRPr="00B2702B">
        <w:rPr>
          <w:u w:val="single"/>
        </w:rPr>
        <w:t>ARTÍCULO 7.-</w:t>
      </w:r>
      <w:r w:rsidR="00491080">
        <w:t xml:space="preserve"> Comuníquese al Poder Ejecutivo.</w:t>
      </w:r>
      <w:bookmarkStart w:id="0" w:name="_GoBack"/>
      <w:bookmarkEnd w:id="0"/>
    </w:p>
    <w:sectPr w:rsidR="00491080" w:rsidRPr="006A588C" w:rsidSect="008974DF">
      <w:headerReference w:type="even" r:id="rId6"/>
      <w:headerReference w:type="default" r:id="rId7"/>
      <w:footerReference w:type="even" r:id="rId8"/>
      <w:footerReference w:type="default" r:id="rId9"/>
      <w:pgSz w:w="12242" w:h="20163" w:code="5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54A" w:rsidRDefault="002A454A" w:rsidP="008974DF">
      <w:r>
        <w:separator/>
      </w:r>
    </w:p>
  </w:endnote>
  <w:endnote w:type="continuationSeparator" w:id="0">
    <w:p w:rsidR="002A454A" w:rsidRDefault="002A454A" w:rsidP="0089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45" w:rsidRDefault="00397045" w:rsidP="008974DF">
    <w:pPr>
      <w:pStyle w:val="Piedepgina"/>
      <w:tabs>
        <w:tab w:val="clear" w:pos="4252"/>
        <w:tab w:val="clear" w:pos="8504"/>
        <w:tab w:val="left" w:pos="7417"/>
      </w:tabs>
    </w:pPr>
  </w:p>
  <w:p w:rsidR="00397045" w:rsidRDefault="00397045" w:rsidP="008974DF">
    <w:pPr>
      <w:pStyle w:val="Piedepgina"/>
      <w:tabs>
        <w:tab w:val="clear" w:pos="4252"/>
        <w:tab w:val="clear" w:pos="8504"/>
        <w:tab w:val="left" w:pos="7417"/>
      </w:tabs>
    </w:pPr>
  </w:p>
  <w:p w:rsidR="00397045" w:rsidRDefault="00397045" w:rsidP="008974DF">
    <w:pPr>
      <w:pStyle w:val="Piedepgina"/>
      <w:tabs>
        <w:tab w:val="clear" w:pos="4252"/>
        <w:tab w:val="clear" w:pos="8504"/>
        <w:tab w:val="left" w:pos="7417"/>
      </w:tabs>
    </w:pPr>
  </w:p>
  <w:p w:rsidR="00397045" w:rsidRDefault="00397045" w:rsidP="008974DF">
    <w:pPr>
      <w:pStyle w:val="Piedepgina"/>
      <w:tabs>
        <w:tab w:val="clear" w:pos="4252"/>
        <w:tab w:val="clear" w:pos="8504"/>
        <w:tab w:val="left" w:pos="7417"/>
      </w:tabs>
    </w:pPr>
  </w:p>
  <w:p w:rsidR="00397045" w:rsidRDefault="00397045" w:rsidP="008974DF">
    <w:pPr>
      <w:pStyle w:val="Piedepgina"/>
      <w:tabs>
        <w:tab w:val="clear" w:pos="4252"/>
        <w:tab w:val="clear" w:pos="8504"/>
        <w:tab w:val="left" w:pos="7417"/>
      </w:tabs>
    </w:pPr>
  </w:p>
  <w:p w:rsidR="00397045" w:rsidRDefault="00397045" w:rsidP="008974DF">
    <w:pPr>
      <w:pStyle w:val="Piedepgina"/>
      <w:tabs>
        <w:tab w:val="clear" w:pos="4252"/>
        <w:tab w:val="clear" w:pos="8504"/>
        <w:tab w:val="left" w:pos="7417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45" w:rsidRDefault="00397045">
    <w:pPr>
      <w:pStyle w:val="Piedepgina"/>
    </w:pPr>
  </w:p>
  <w:p w:rsidR="00397045" w:rsidRDefault="00397045">
    <w:pPr>
      <w:pStyle w:val="Piedepgina"/>
    </w:pPr>
  </w:p>
  <w:p w:rsidR="00397045" w:rsidRDefault="00397045">
    <w:pPr>
      <w:pStyle w:val="Piedepgina"/>
    </w:pPr>
  </w:p>
  <w:p w:rsidR="00397045" w:rsidRDefault="00397045">
    <w:pPr>
      <w:pStyle w:val="Piedepgina"/>
    </w:pPr>
  </w:p>
  <w:p w:rsidR="00397045" w:rsidRDefault="00397045">
    <w:pPr>
      <w:pStyle w:val="Piedepgina"/>
    </w:pPr>
  </w:p>
  <w:p w:rsidR="00397045" w:rsidRDefault="0039704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54A" w:rsidRDefault="002A454A" w:rsidP="008974DF">
      <w:r>
        <w:separator/>
      </w:r>
    </w:p>
  </w:footnote>
  <w:footnote w:type="continuationSeparator" w:id="0">
    <w:p w:rsidR="002A454A" w:rsidRDefault="002A454A" w:rsidP="0089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45" w:rsidRPr="00E67211" w:rsidRDefault="00397045" w:rsidP="00BB3031">
    <w:pPr>
      <w:jc w:val="right"/>
      <w:rPr>
        <w:b/>
        <w:i/>
        <w:sz w:val="20"/>
        <w:szCs w:val="20"/>
      </w:rPr>
    </w:pPr>
    <w:r w:rsidRPr="00E67211">
      <w:rPr>
        <w:noProof/>
        <w:lang w:val="es-AR" w:eastAsia="es-A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424815</wp:posOffset>
          </wp:positionH>
          <wp:positionV relativeFrom="paragraph">
            <wp:posOffset>102235</wp:posOffset>
          </wp:positionV>
          <wp:extent cx="847725" cy="990600"/>
          <wp:effectExtent l="0" t="0" r="0" b="0"/>
          <wp:wrapThrough wrapText="bothSides">
            <wp:wrapPolygon edited="0">
              <wp:start x="0" y="0"/>
              <wp:lineTo x="0" y="21185"/>
              <wp:lineTo x="21357" y="21185"/>
              <wp:lineTo x="21357" y="0"/>
              <wp:lineTo x="0" y="0"/>
            </wp:wrapPolygon>
          </wp:wrapThrough>
          <wp:docPr id="2" name="Imagen 2" descr="Descripción: 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escu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67211">
      <w:rPr>
        <w:b/>
        <w:i/>
        <w:sz w:val="20"/>
        <w:szCs w:val="20"/>
      </w:rPr>
      <w:t xml:space="preserve"> </w:t>
    </w:r>
  </w:p>
  <w:p w:rsidR="00397045" w:rsidRDefault="00397045" w:rsidP="00BB3031">
    <w:pPr>
      <w:rPr>
        <w:b/>
        <w:i/>
        <w:sz w:val="20"/>
        <w:szCs w:val="20"/>
      </w:rPr>
    </w:pPr>
    <w:r w:rsidRPr="003F04C6">
      <w:rPr>
        <w:b/>
        <w:i/>
        <w:sz w:val="20"/>
        <w:szCs w:val="20"/>
      </w:rPr>
      <w:t xml:space="preserve">             </w:t>
    </w:r>
  </w:p>
  <w:p w:rsidR="00397045" w:rsidRDefault="00397045" w:rsidP="00BB3031">
    <w:pPr>
      <w:rPr>
        <w:b/>
        <w:i/>
        <w:sz w:val="20"/>
        <w:szCs w:val="20"/>
      </w:rPr>
    </w:pPr>
  </w:p>
  <w:p w:rsidR="00397045" w:rsidRDefault="00397045" w:rsidP="00BB3031">
    <w:pPr>
      <w:rPr>
        <w:b/>
        <w:i/>
        <w:sz w:val="20"/>
        <w:szCs w:val="20"/>
      </w:rPr>
    </w:pPr>
  </w:p>
  <w:p w:rsidR="00397045" w:rsidRDefault="00397045" w:rsidP="00BB3031">
    <w:pPr>
      <w:rPr>
        <w:b/>
        <w:i/>
        <w:sz w:val="20"/>
        <w:szCs w:val="20"/>
      </w:rPr>
    </w:pPr>
  </w:p>
  <w:p w:rsidR="00397045" w:rsidRDefault="00397045" w:rsidP="00BB3031">
    <w:pPr>
      <w:rPr>
        <w:b/>
        <w:i/>
        <w:sz w:val="20"/>
        <w:szCs w:val="20"/>
      </w:rPr>
    </w:pPr>
  </w:p>
  <w:p w:rsidR="00397045" w:rsidRDefault="00397045" w:rsidP="00BB3031">
    <w:pPr>
      <w:rPr>
        <w:b/>
        <w:i/>
        <w:sz w:val="20"/>
        <w:szCs w:val="20"/>
      </w:rPr>
    </w:pPr>
  </w:p>
  <w:p w:rsidR="00397045" w:rsidRDefault="00397045" w:rsidP="00BB3031">
    <w:pPr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  </w:t>
    </w:r>
  </w:p>
  <w:p w:rsidR="00397045" w:rsidRDefault="00397045" w:rsidP="00BB3031">
    <w:pPr>
      <w:rPr>
        <w:rFonts w:ascii="Freestyle Script" w:hAnsi="Freestyle Script"/>
        <w:sz w:val="36"/>
        <w:szCs w:val="36"/>
      </w:rPr>
    </w:pPr>
    <w:r w:rsidRPr="00632925">
      <w:rPr>
        <w:rFonts w:ascii="Freestyle Script" w:hAnsi="Freestyle Script"/>
        <w:sz w:val="36"/>
        <w:szCs w:val="36"/>
      </w:rPr>
      <w:t xml:space="preserve">Honorable Concejo Deliberante </w:t>
    </w:r>
  </w:p>
  <w:p w:rsidR="00397045" w:rsidRPr="00632925" w:rsidRDefault="00397045" w:rsidP="00BB3031">
    <w:pPr>
      <w:rPr>
        <w:rFonts w:ascii="Freestyle Script" w:hAnsi="Freestyle Script"/>
        <w:sz w:val="36"/>
        <w:szCs w:val="36"/>
      </w:rPr>
    </w:pPr>
    <w:r>
      <w:rPr>
        <w:rFonts w:ascii="Freestyle Script" w:hAnsi="Freestyle Script"/>
        <w:sz w:val="36"/>
        <w:szCs w:val="36"/>
      </w:rPr>
      <w:t xml:space="preserve">    </w:t>
    </w:r>
    <w:r w:rsidRPr="00632925">
      <w:rPr>
        <w:rFonts w:ascii="Freestyle Script" w:hAnsi="Freestyle Script"/>
        <w:sz w:val="36"/>
        <w:szCs w:val="36"/>
      </w:rPr>
      <w:t>de la</w:t>
    </w:r>
    <w:r>
      <w:rPr>
        <w:rFonts w:ascii="Freestyle Script" w:hAnsi="Freestyle Script"/>
        <w:sz w:val="36"/>
        <w:szCs w:val="36"/>
      </w:rPr>
      <w:t xml:space="preserve"> </w:t>
    </w:r>
    <w:r w:rsidRPr="00632925">
      <w:rPr>
        <w:rFonts w:ascii="Freestyle Script" w:hAnsi="Freestyle Script"/>
        <w:sz w:val="36"/>
        <w:szCs w:val="36"/>
      </w:rPr>
      <w:t>Ciudad de Posadas</w:t>
    </w:r>
  </w:p>
  <w:p w:rsidR="00397045" w:rsidRPr="00BF521F" w:rsidRDefault="00397045" w:rsidP="00BB3031">
    <w:pPr>
      <w:rPr>
        <w:rFonts w:ascii="Freestyle Script" w:hAnsi="Freestyle Script"/>
        <w:sz w:val="20"/>
        <w:szCs w:val="20"/>
      </w:rPr>
    </w:pPr>
    <w:r w:rsidRPr="00BF521F">
      <w:rPr>
        <w:rFonts w:ascii="Freestyle Script" w:hAnsi="Freestyle Script"/>
        <w:sz w:val="20"/>
        <w:szCs w:val="20"/>
      </w:rPr>
      <w:t xml:space="preserve">           </w:t>
    </w:r>
    <w:r>
      <w:rPr>
        <w:rFonts w:ascii="Freestyle Script" w:hAnsi="Freestyle Script"/>
        <w:sz w:val="20"/>
        <w:szCs w:val="20"/>
      </w:rPr>
      <w:t xml:space="preserve">         ===</w:t>
    </w:r>
    <w:r w:rsidRPr="00BF521F">
      <w:rPr>
        <w:rFonts w:ascii="Freestyle Script" w:hAnsi="Freestyle Script"/>
        <w:sz w:val="20"/>
        <w:szCs w:val="20"/>
      </w:rPr>
      <w:t>======</w:t>
    </w:r>
  </w:p>
  <w:p w:rsidR="00397045" w:rsidRPr="00BB3031" w:rsidRDefault="00397045" w:rsidP="00BB303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45" w:rsidRDefault="00397045" w:rsidP="00C33267">
    <w:pPr>
      <w:tabs>
        <w:tab w:val="left" w:pos="7088"/>
        <w:tab w:val="left" w:pos="7371"/>
      </w:tabs>
      <w:ind w:right="1327"/>
      <w:jc w:val="right"/>
      <w:rPr>
        <w:b/>
        <w:sz w:val="20"/>
        <w:szCs w:val="20"/>
        <w:u w:val="single"/>
      </w:rPr>
    </w:pPr>
    <w:r>
      <w:rPr>
        <w:noProof/>
        <w:lang w:val="es-AR" w:eastAsia="es-A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424815</wp:posOffset>
          </wp:positionH>
          <wp:positionV relativeFrom="paragraph">
            <wp:posOffset>102235</wp:posOffset>
          </wp:positionV>
          <wp:extent cx="847725" cy="990600"/>
          <wp:effectExtent l="19050" t="0" r="9525" b="0"/>
          <wp:wrapThrough wrapText="bothSides">
            <wp:wrapPolygon edited="0">
              <wp:start x="-485" y="0"/>
              <wp:lineTo x="-485" y="21185"/>
              <wp:lineTo x="21843" y="21185"/>
              <wp:lineTo x="21843" y="0"/>
              <wp:lineTo x="-485" y="0"/>
            </wp:wrapPolygon>
          </wp:wrapThrough>
          <wp:docPr id="5" name="1 Imagen" descr="Descripción: 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escu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97045" w:rsidRDefault="00397045" w:rsidP="00C33267">
    <w:pPr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             </w:t>
    </w:r>
  </w:p>
  <w:p w:rsidR="00397045" w:rsidRDefault="00397045" w:rsidP="00C33267">
    <w:pPr>
      <w:rPr>
        <w:rFonts w:asciiTheme="minorHAnsi" w:hAnsiTheme="minorHAnsi" w:cstheme="minorBidi"/>
        <w:b/>
        <w:i/>
        <w:sz w:val="20"/>
        <w:szCs w:val="20"/>
      </w:rPr>
    </w:pPr>
  </w:p>
  <w:p w:rsidR="00397045" w:rsidRDefault="00397045" w:rsidP="00C33267">
    <w:pPr>
      <w:rPr>
        <w:rFonts w:asciiTheme="minorHAnsi" w:hAnsiTheme="minorHAnsi" w:cstheme="minorBidi"/>
        <w:b/>
        <w:i/>
        <w:sz w:val="20"/>
        <w:szCs w:val="20"/>
      </w:rPr>
    </w:pPr>
  </w:p>
  <w:p w:rsidR="00397045" w:rsidRDefault="00397045" w:rsidP="00C33267">
    <w:pPr>
      <w:rPr>
        <w:rFonts w:asciiTheme="minorHAnsi" w:hAnsiTheme="minorHAnsi" w:cstheme="minorBidi"/>
        <w:b/>
        <w:i/>
        <w:sz w:val="20"/>
        <w:szCs w:val="20"/>
      </w:rPr>
    </w:pPr>
  </w:p>
  <w:p w:rsidR="00397045" w:rsidRDefault="00397045" w:rsidP="00C33267">
    <w:pPr>
      <w:rPr>
        <w:rFonts w:asciiTheme="minorHAnsi" w:hAnsiTheme="minorHAnsi" w:cstheme="minorBidi"/>
        <w:b/>
        <w:i/>
        <w:sz w:val="20"/>
        <w:szCs w:val="20"/>
      </w:rPr>
    </w:pPr>
  </w:p>
  <w:p w:rsidR="00397045" w:rsidRDefault="00397045" w:rsidP="00C33267">
    <w:pPr>
      <w:rPr>
        <w:rFonts w:asciiTheme="minorHAnsi" w:hAnsiTheme="minorHAnsi" w:cstheme="minorBidi"/>
        <w:b/>
        <w:i/>
        <w:sz w:val="20"/>
        <w:szCs w:val="20"/>
      </w:rPr>
    </w:pPr>
  </w:p>
  <w:p w:rsidR="00397045" w:rsidRDefault="00397045" w:rsidP="00C33267">
    <w:pPr>
      <w:rPr>
        <w:rFonts w:ascii="Freestyle Script" w:hAnsi="Freestyle Script"/>
        <w:sz w:val="36"/>
        <w:szCs w:val="36"/>
      </w:rPr>
    </w:pPr>
    <w:r>
      <w:rPr>
        <w:rFonts w:ascii="Freestyle Script" w:hAnsi="Freestyle Script"/>
        <w:sz w:val="36"/>
        <w:szCs w:val="36"/>
      </w:rPr>
      <w:t xml:space="preserve">Honorable Concejo Deliberante </w:t>
    </w:r>
  </w:p>
  <w:p w:rsidR="00397045" w:rsidRDefault="00397045" w:rsidP="00C33267">
    <w:pPr>
      <w:rPr>
        <w:rFonts w:ascii="Freestyle Script" w:hAnsi="Freestyle Script"/>
        <w:sz w:val="36"/>
        <w:szCs w:val="36"/>
      </w:rPr>
    </w:pPr>
    <w:r>
      <w:rPr>
        <w:rFonts w:ascii="Freestyle Script" w:hAnsi="Freestyle Script"/>
        <w:sz w:val="36"/>
        <w:szCs w:val="36"/>
      </w:rPr>
      <w:t xml:space="preserve">    de la Ciudad de Posadas</w:t>
    </w:r>
  </w:p>
  <w:p w:rsidR="00397045" w:rsidRDefault="00397045" w:rsidP="00C33267">
    <w:pPr>
      <w:rPr>
        <w:rFonts w:ascii="Freestyle Script" w:hAnsi="Freestyle Script"/>
        <w:sz w:val="20"/>
        <w:szCs w:val="20"/>
      </w:rPr>
    </w:pPr>
    <w:r>
      <w:rPr>
        <w:rFonts w:ascii="Freestyle Script" w:hAnsi="Freestyle Script"/>
        <w:sz w:val="20"/>
        <w:szCs w:val="20"/>
      </w:rPr>
      <w:t xml:space="preserve">                    =========</w:t>
    </w:r>
  </w:p>
  <w:p w:rsidR="00397045" w:rsidRPr="00C33267" w:rsidRDefault="00397045" w:rsidP="00C33267">
    <w:pPr>
      <w:rPr>
        <w:rFonts w:ascii="Freestyle Script" w:hAnsi="Freestyle Script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91080"/>
    <w:rsid w:val="0002433E"/>
    <w:rsid w:val="00072C5F"/>
    <w:rsid w:val="0009674D"/>
    <w:rsid w:val="000A2A40"/>
    <w:rsid w:val="00154CC8"/>
    <w:rsid w:val="001A46DF"/>
    <w:rsid w:val="00274334"/>
    <w:rsid w:val="002A454A"/>
    <w:rsid w:val="00304D6F"/>
    <w:rsid w:val="0038498E"/>
    <w:rsid w:val="00397045"/>
    <w:rsid w:val="003F0E22"/>
    <w:rsid w:val="00474DEC"/>
    <w:rsid w:val="00491080"/>
    <w:rsid w:val="004A7DE1"/>
    <w:rsid w:val="004B10A7"/>
    <w:rsid w:val="004D454E"/>
    <w:rsid w:val="00587719"/>
    <w:rsid w:val="005F5637"/>
    <w:rsid w:val="00600202"/>
    <w:rsid w:val="006539C9"/>
    <w:rsid w:val="00667DBA"/>
    <w:rsid w:val="00681925"/>
    <w:rsid w:val="006A588C"/>
    <w:rsid w:val="007472D8"/>
    <w:rsid w:val="007B6E4F"/>
    <w:rsid w:val="00817DE5"/>
    <w:rsid w:val="0082049E"/>
    <w:rsid w:val="00823E44"/>
    <w:rsid w:val="008974DF"/>
    <w:rsid w:val="00904BE5"/>
    <w:rsid w:val="009858E3"/>
    <w:rsid w:val="009B0915"/>
    <w:rsid w:val="00AA69A3"/>
    <w:rsid w:val="00AF27D6"/>
    <w:rsid w:val="00BB3031"/>
    <w:rsid w:val="00BB3C88"/>
    <w:rsid w:val="00C33267"/>
    <w:rsid w:val="00C6781E"/>
    <w:rsid w:val="00C72E89"/>
    <w:rsid w:val="00C904E0"/>
    <w:rsid w:val="00D152BC"/>
    <w:rsid w:val="00D36871"/>
    <w:rsid w:val="00D80757"/>
    <w:rsid w:val="00D84798"/>
    <w:rsid w:val="00F37F38"/>
    <w:rsid w:val="00F66DC5"/>
    <w:rsid w:val="00F70E71"/>
    <w:rsid w:val="00FD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80"/>
    <w:pPr>
      <w:spacing w:line="240" w:lineRule="auto"/>
      <w:jc w:val="left"/>
    </w:pPr>
    <w:rPr>
      <w:rFonts w:eastAsia="Times New Roman" w:cs="Times New Roman"/>
      <w:kern w:val="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74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74DF"/>
    <w:rPr>
      <w:rFonts w:eastAsia="Times New Roman" w:cs="Times New Roman"/>
      <w:kern w:val="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974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4DF"/>
    <w:rPr>
      <w:rFonts w:eastAsia="Times New Roman" w:cs="Times New Roman"/>
      <w:kern w:val="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Digesto1</cp:lastModifiedBy>
  <cp:revision>2</cp:revision>
  <dcterms:created xsi:type="dcterms:W3CDTF">2019-05-08T12:19:00Z</dcterms:created>
  <dcterms:modified xsi:type="dcterms:W3CDTF">2019-05-08T12:19:00Z</dcterms:modified>
</cp:coreProperties>
</file>